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B6B" w:rsidRPr="00B42B6B" w:rsidRDefault="00B42B6B" w:rsidP="00B42B6B">
      <w:pPr>
        <w:jc w:val="center"/>
        <w:rPr>
          <w:rFonts w:ascii="Arial" w:hAnsi="Arial" w:cs="Arial"/>
          <w:b/>
        </w:rPr>
      </w:pPr>
      <w:r w:rsidRPr="00B42B6B">
        <w:rPr>
          <w:rFonts w:ascii="Arial" w:hAnsi="Arial" w:cs="Arial"/>
          <w:b/>
        </w:rPr>
        <w:t>Ejemplo</w:t>
      </w:r>
    </w:p>
    <w:p w:rsidR="00B42B6B" w:rsidRPr="00B42B6B" w:rsidRDefault="00B42B6B" w:rsidP="00B42B6B">
      <w:pPr>
        <w:jc w:val="both"/>
        <w:rPr>
          <w:rFonts w:ascii="Arial" w:hAnsi="Arial" w:cs="Arial"/>
        </w:rPr>
      </w:pPr>
      <w:r w:rsidRPr="00B42B6B">
        <w:rPr>
          <w:rFonts w:ascii="Arial" w:hAnsi="Arial" w:cs="Arial"/>
        </w:rPr>
        <w:t>Por ejemplo, puede considerarse la calificación de la cartera en función de la antigüedad de la mora. En general, la categoría de máximo riesgo es a los 90 días de mora. A continuación se muestra una constitución de previsiones en función a la antigüedad de la cartera vencida:</w:t>
      </w:r>
    </w:p>
    <w:tbl>
      <w:tblPr>
        <w:tblStyle w:val="Sombreadomedio1-nfasis2"/>
        <w:tblW w:w="0" w:type="auto"/>
        <w:jc w:val="center"/>
        <w:tblLook w:val="04A0" w:firstRow="1" w:lastRow="0" w:firstColumn="1" w:lastColumn="0" w:noHBand="0" w:noVBand="1"/>
      </w:tblPr>
      <w:tblGrid>
        <w:gridCol w:w="1810"/>
        <w:gridCol w:w="1451"/>
        <w:gridCol w:w="1701"/>
      </w:tblGrid>
      <w:tr w:rsidR="00B42B6B" w:rsidRPr="00B42B6B" w:rsidTr="00B42B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  <w:shd w:val="clear" w:color="auto" w:fill="C00000"/>
            <w:vAlign w:val="center"/>
          </w:tcPr>
          <w:p w:rsidR="00B42B6B" w:rsidRPr="00B42B6B" w:rsidRDefault="00B42B6B" w:rsidP="00B42B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 xml:space="preserve">Antigüedad </w:t>
            </w:r>
          </w:p>
        </w:tc>
        <w:tc>
          <w:tcPr>
            <w:tcW w:w="1451" w:type="dxa"/>
            <w:shd w:val="clear" w:color="auto" w:fill="C00000"/>
            <w:vAlign w:val="center"/>
          </w:tcPr>
          <w:p w:rsidR="00B42B6B" w:rsidRPr="00B42B6B" w:rsidRDefault="00B42B6B" w:rsidP="00B42B6B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 xml:space="preserve">Calificación </w:t>
            </w:r>
          </w:p>
        </w:tc>
        <w:tc>
          <w:tcPr>
            <w:tcW w:w="1701" w:type="dxa"/>
            <w:shd w:val="clear" w:color="auto" w:fill="C00000"/>
            <w:vAlign w:val="center"/>
          </w:tcPr>
          <w:p w:rsidR="00B42B6B" w:rsidRPr="00B42B6B" w:rsidRDefault="00B42B6B" w:rsidP="00B42B6B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B42B6B">
              <w:rPr>
                <w:rFonts w:ascii="Arial" w:hAnsi="Arial" w:cs="Arial"/>
                <w:b w:val="0"/>
              </w:rPr>
              <w:t xml:space="preserve">% </w:t>
            </w:r>
            <w:r w:rsidRPr="00B42B6B">
              <w:rPr>
                <w:rFonts w:ascii="Arial" w:hAnsi="Arial" w:cs="Arial"/>
              </w:rPr>
              <w:t>Previsión</w:t>
            </w:r>
          </w:p>
        </w:tc>
      </w:tr>
      <w:tr w:rsidR="00B42B6B" w:rsidRPr="00B42B6B" w:rsidTr="00B42B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1 a 7 días</w:t>
            </w:r>
          </w:p>
        </w:tc>
        <w:tc>
          <w:tcPr>
            <w:tcW w:w="145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1%</w:t>
            </w:r>
          </w:p>
        </w:tc>
      </w:tr>
      <w:tr w:rsidR="00B42B6B" w:rsidRPr="00B42B6B" w:rsidTr="00B42B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8 a 30 días</w:t>
            </w:r>
          </w:p>
        </w:tc>
        <w:tc>
          <w:tcPr>
            <w:tcW w:w="145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II</w:t>
            </w:r>
          </w:p>
        </w:tc>
        <w:tc>
          <w:tcPr>
            <w:tcW w:w="170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5%</w:t>
            </w:r>
          </w:p>
        </w:tc>
      </w:tr>
      <w:tr w:rsidR="00B42B6B" w:rsidRPr="00B42B6B" w:rsidTr="00B42B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31 a 60 días</w:t>
            </w:r>
          </w:p>
        </w:tc>
        <w:tc>
          <w:tcPr>
            <w:tcW w:w="145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III</w:t>
            </w:r>
          </w:p>
        </w:tc>
        <w:tc>
          <w:tcPr>
            <w:tcW w:w="170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20%</w:t>
            </w:r>
          </w:p>
        </w:tc>
      </w:tr>
      <w:tr w:rsidR="00B42B6B" w:rsidRPr="00B42B6B" w:rsidTr="00B42B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61 a 90 días</w:t>
            </w:r>
          </w:p>
        </w:tc>
        <w:tc>
          <w:tcPr>
            <w:tcW w:w="145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IV</w:t>
            </w:r>
          </w:p>
        </w:tc>
        <w:tc>
          <w:tcPr>
            <w:tcW w:w="170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50%</w:t>
            </w:r>
          </w:p>
        </w:tc>
      </w:tr>
      <w:tr w:rsidR="00B42B6B" w:rsidRPr="00B42B6B" w:rsidTr="00B42B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Más de 90 días</w:t>
            </w:r>
          </w:p>
        </w:tc>
        <w:tc>
          <w:tcPr>
            <w:tcW w:w="145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vAlign w:val="center"/>
          </w:tcPr>
          <w:p w:rsidR="00B42B6B" w:rsidRPr="00B42B6B" w:rsidRDefault="00B42B6B" w:rsidP="00B42B6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2B6B">
              <w:rPr>
                <w:rFonts w:ascii="Arial" w:hAnsi="Arial" w:cs="Arial"/>
              </w:rPr>
              <w:t>100%</w:t>
            </w:r>
          </w:p>
        </w:tc>
      </w:tr>
    </w:tbl>
    <w:p w:rsidR="00B42B6B" w:rsidRPr="00B42B6B" w:rsidRDefault="00B42B6B" w:rsidP="00B42B6B">
      <w:pPr>
        <w:spacing w:after="0"/>
        <w:jc w:val="both"/>
        <w:rPr>
          <w:rFonts w:ascii="Arial" w:hAnsi="Arial" w:cs="Arial"/>
        </w:rPr>
      </w:pPr>
    </w:p>
    <w:p w:rsidR="00B42B6B" w:rsidRPr="00B42B6B" w:rsidRDefault="00B42B6B" w:rsidP="00B42B6B">
      <w:pPr>
        <w:jc w:val="both"/>
        <w:rPr>
          <w:rFonts w:ascii="Arial" w:hAnsi="Arial" w:cs="Arial"/>
        </w:rPr>
      </w:pPr>
      <w:r w:rsidRPr="00B42B6B">
        <w:rPr>
          <w:rFonts w:ascii="Arial" w:hAnsi="Arial" w:cs="Arial"/>
        </w:rPr>
        <w:t>Las entidades financieras deben evaluar periódicamente si un crédito vencido debe permanecer en el balance general o reconocerlo como un gasto imposible de recuperar (castigo de cartera). Algunas instituciones consideran que un crédito productivo debe ser castigado a partir de los 180 días de antigüedad de la mora.</w:t>
      </w:r>
    </w:p>
    <w:p w:rsidR="00B42B6B" w:rsidRPr="00B42B6B" w:rsidRDefault="00B42B6B" w:rsidP="00B42B6B">
      <w:pPr>
        <w:jc w:val="both"/>
        <w:rPr>
          <w:rFonts w:ascii="Arial" w:hAnsi="Arial" w:cs="Arial"/>
        </w:rPr>
      </w:pPr>
      <w:r w:rsidRPr="00B42B6B">
        <w:rPr>
          <w:rFonts w:ascii="Arial" w:hAnsi="Arial" w:cs="Arial"/>
        </w:rPr>
        <w:t>Dicho castigo se realizará cancelando el saldo insoluto del crédito contra la estimación preventiva para riesgos crediticios. Cuando el crédito a castigar excede el saldo de su estimación asociada, antes de efectuar el castigo, tal estimación deberá incrementarse hasta por el monto de la diferencia.</w:t>
      </w:r>
    </w:p>
    <w:p w:rsidR="00B42B6B" w:rsidRPr="00B42B6B" w:rsidRDefault="00B42B6B" w:rsidP="00B42B6B">
      <w:pPr>
        <w:jc w:val="both"/>
        <w:rPr>
          <w:rFonts w:ascii="Arial" w:hAnsi="Arial" w:cs="Arial"/>
        </w:rPr>
      </w:pPr>
      <w:r w:rsidRPr="00B42B6B">
        <w:rPr>
          <w:rFonts w:ascii="Arial" w:hAnsi="Arial" w:cs="Arial"/>
        </w:rPr>
        <w:t>Por ejemplo, un caso de un crédito grupal con una deuda de $ 5,000, generaría las siguientes previsiones en caso de no cobrarse:</w:t>
      </w:r>
    </w:p>
    <w:tbl>
      <w:tblPr>
        <w:tblW w:w="507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8"/>
        <w:gridCol w:w="1670"/>
        <w:gridCol w:w="1460"/>
      </w:tblGrid>
      <w:tr w:rsidR="00B42B6B" w:rsidRPr="00B42B6B" w:rsidTr="00556623">
        <w:trPr>
          <w:trHeight w:val="345"/>
          <w:jc w:val="center"/>
        </w:trPr>
        <w:tc>
          <w:tcPr>
            <w:tcW w:w="1948" w:type="dxa"/>
            <w:tcBorders>
              <w:top w:val="single" w:sz="4" w:space="0" w:color="DA9694"/>
              <w:left w:val="single" w:sz="4" w:space="0" w:color="DA9694"/>
              <w:bottom w:val="single" w:sz="4" w:space="0" w:color="DA9694"/>
              <w:right w:val="nil"/>
            </w:tcBorders>
            <w:shd w:val="clear" w:color="auto" w:fill="C00000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B42B6B">
              <w:rPr>
                <w:rFonts w:ascii="Arial" w:hAnsi="Arial" w:cs="Arial"/>
                <w:b/>
                <w:bCs/>
                <w:color w:val="FFFFFF"/>
              </w:rPr>
              <w:t>Cartera Vencida</w:t>
            </w:r>
          </w:p>
        </w:tc>
        <w:tc>
          <w:tcPr>
            <w:tcW w:w="1670" w:type="dxa"/>
            <w:tcBorders>
              <w:top w:val="single" w:sz="4" w:space="0" w:color="DA9694"/>
              <w:left w:val="nil"/>
              <w:bottom w:val="single" w:sz="4" w:space="0" w:color="DA9694"/>
              <w:right w:val="nil"/>
            </w:tcBorders>
            <w:shd w:val="clear" w:color="auto" w:fill="C00000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B42B6B">
              <w:rPr>
                <w:rFonts w:ascii="Arial" w:hAnsi="Arial" w:cs="Arial"/>
                <w:b/>
                <w:bCs/>
                <w:color w:val="FFFFFF"/>
              </w:rPr>
              <w:t>Antigüedad</w:t>
            </w:r>
          </w:p>
        </w:tc>
        <w:tc>
          <w:tcPr>
            <w:tcW w:w="1460" w:type="dxa"/>
            <w:tcBorders>
              <w:top w:val="single" w:sz="4" w:space="0" w:color="DA9694"/>
              <w:left w:val="nil"/>
              <w:bottom w:val="single" w:sz="4" w:space="0" w:color="DA9694"/>
              <w:right w:val="single" w:sz="4" w:space="0" w:color="DA9694"/>
            </w:tcBorders>
            <w:shd w:val="clear" w:color="auto" w:fill="C00000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B42B6B">
              <w:rPr>
                <w:rFonts w:ascii="Arial" w:hAnsi="Arial" w:cs="Arial"/>
                <w:b/>
                <w:bCs/>
                <w:color w:val="FFFFFF"/>
              </w:rPr>
              <w:t>Previsión</w:t>
            </w:r>
          </w:p>
        </w:tc>
      </w:tr>
      <w:tr w:rsidR="00B42B6B" w:rsidRPr="00B42B6B" w:rsidTr="00556623">
        <w:trPr>
          <w:trHeight w:val="300"/>
          <w:jc w:val="center"/>
        </w:trPr>
        <w:tc>
          <w:tcPr>
            <w:tcW w:w="1948" w:type="dxa"/>
            <w:tcBorders>
              <w:top w:val="single" w:sz="4" w:space="0" w:color="DA9694"/>
              <w:left w:val="single" w:sz="4" w:space="0" w:color="DA9694"/>
              <w:bottom w:val="single" w:sz="4" w:space="0" w:color="DA9694"/>
              <w:right w:val="nil"/>
            </w:tcBorders>
            <w:shd w:val="clear" w:color="F2DCDB" w:fill="F2DCDB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        5,000 </w:t>
            </w:r>
          </w:p>
        </w:tc>
        <w:tc>
          <w:tcPr>
            <w:tcW w:w="1670" w:type="dxa"/>
            <w:tcBorders>
              <w:top w:val="single" w:sz="4" w:space="0" w:color="DA9694"/>
              <w:left w:val="nil"/>
              <w:bottom w:val="single" w:sz="4" w:space="0" w:color="DA9694"/>
              <w:right w:val="nil"/>
            </w:tcBorders>
            <w:shd w:val="clear" w:color="F2DCDB" w:fill="F2DCDB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>1 – 7 días</w:t>
            </w:r>
          </w:p>
        </w:tc>
        <w:tc>
          <w:tcPr>
            <w:tcW w:w="1460" w:type="dxa"/>
            <w:tcBorders>
              <w:top w:val="single" w:sz="4" w:space="0" w:color="DA9694"/>
              <w:left w:val="nil"/>
              <w:bottom w:val="single" w:sz="4" w:space="0" w:color="DA9694"/>
              <w:right w:val="single" w:sz="4" w:space="0" w:color="DA9694"/>
            </w:tcBorders>
            <w:shd w:val="clear" w:color="F2DCDB" w:fill="F2DCDB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     50 </w:t>
            </w:r>
          </w:p>
        </w:tc>
      </w:tr>
      <w:tr w:rsidR="00B42B6B" w:rsidRPr="00B42B6B" w:rsidTr="00556623">
        <w:trPr>
          <w:trHeight w:val="300"/>
          <w:jc w:val="center"/>
        </w:trPr>
        <w:tc>
          <w:tcPr>
            <w:tcW w:w="1948" w:type="dxa"/>
            <w:tcBorders>
              <w:top w:val="single" w:sz="4" w:space="0" w:color="DA9694"/>
              <w:left w:val="single" w:sz="4" w:space="0" w:color="DA9694"/>
              <w:bottom w:val="single" w:sz="4" w:space="0" w:color="DA9694"/>
              <w:right w:val="nil"/>
            </w:tcBorders>
            <w:shd w:val="clear" w:color="auto" w:fill="auto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        5,000 </w:t>
            </w:r>
          </w:p>
        </w:tc>
        <w:tc>
          <w:tcPr>
            <w:tcW w:w="1670" w:type="dxa"/>
            <w:tcBorders>
              <w:top w:val="single" w:sz="4" w:space="0" w:color="DA9694"/>
              <w:left w:val="nil"/>
              <w:bottom w:val="single" w:sz="4" w:space="0" w:color="DA9694"/>
              <w:right w:val="nil"/>
            </w:tcBorders>
            <w:shd w:val="clear" w:color="auto" w:fill="auto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>8 – 30 días</w:t>
            </w:r>
          </w:p>
        </w:tc>
        <w:tc>
          <w:tcPr>
            <w:tcW w:w="1460" w:type="dxa"/>
            <w:tcBorders>
              <w:top w:val="single" w:sz="4" w:space="0" w:color="DA9694"/>
              <w:left w:val="nil"/>
              <w:bottom w:val="single" w:sz="4" w:space="0" w:color="DA9694"/>
              <w:right w:val="single" w:sz="4" w:space="0" w:color="DA9694"/>
            </w:tcBorders>
            <w:shd w:val="clear" w:color="auto" w:fill="auto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   250 </w:t>
            </w:r>
          </w:p>
        </w:tc>
      </w:tr>
      <w:tr w:rsidR="00B42B6B" w:rsidRPr="00B42B6B" w:rsidTr="00556623">
        <w:trPr>
          <w:trHeight w:val="300"/>
          <w:jc w:val="center"/>
        </w:trPr>
        <w:tc>
          <w:tcPr>
            <w:tcW w:w="1948" w:type="dxa"/>
            <w:tcBorders>
              <w:top w:val="single" w:sz="4" w:space="0" w:color="DA9694"/>
              <w:left w:val="single" w:sz="4" w:space="0" w:color="DA9694"/>
              <w:bottom w:val="single" w:sz="4" w:space="0" w:color="DA9694"/>
              <w:right w:val="nil"/>
            </w:tcBorders>
            <w:shd w:val="clear" w:color="F2DCDB" w:fill="F2DCDB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        5,000 </w:t>
            </w:r>
          </w:p>
        </w:tc>
        <w:tc>
          <w:tcPr>
            <w:tcW w:w="1670" w:type="dxa"/>
            <w:tcBorders>
              <w:top w:val="single" w:sz="4" w:space="0" w:color="DA9694"/>
              <w:left w:val="nil"/>
              <w:bottom w:val="single" w:sz="4" w:space="0" w:color="DA9694"/>
              <w:right w:val="nil"/>
            </w:tcBorders>
            <w:shd w:val="clear" w:color="F2DCDB" w:fill="F2DCDB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>31 – 60 días</w:t>
            </w:r>
          </w:p>
        </w:tc>
        <w:tc>
          <w:tcPr>
            <w:tcW w:w="1460" w:type="dxa"/>
            <w:tcBorders>
              <w:top w:val="single" w:sz="4" w:space="0" w:color="DA9694"/>
              <w:left w:val="nil"/>
              <w:bottom w:val="single" w:sz="4" w:space="0" w:color="DA9694"/>
              <w:right w:val="single" w:sz="4" w:space="0" w:color="DA9694"/>
            </w:tcBorders>
            <w:shd w:val="clear" w:color="F2DCDB" w:fill="F2DCDB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1,000 </w:t>
            </w:r>
          </w:p>
        </w:tc>
      </w:tr>
      <w:tr w:rsidR="00B42B6B" w:rsidRPr="00B42B6B" w:rsidTr="00556623">
        <w:trPr>
          <w:trHeight w:val="300"/>
          <w:jc w:val="center"/>
        </w:trPr>
        <w:tc>
          <w:tcPr>
            <w:tcW w:w="1948" w:type="dxa"/>
            <w:tcBorders>
              <w:top w:val="single" w:sz="4" w:space="0" w:color="DA9694"/>
              <w:left w:val="single" w:sz="4" w:space="0" w:color="DA9694"/>
              <w:bottom w:val="single" w:sz="4" w:space="0" w:color="DA9694"/>
              <w:right w:val="nil"/>
            </w:tcBorders>
            <w:shd w:val="clear" w:color="auto" w:fill="auto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        5,000 </w:t>
            </w:r>
          </w:p>
        </w:tc>
        <w:tc>
          <w:tcPr>
            <w:tcW w:w="1670" w:type="dxa"/>
            <w:tcBorders>
              <w:top w:val="single" w:sz="4" w:space="0" w:color="DA9694"/>
              <w:left w:val="nil"/>
              <w:bottom w:val="single" w:sz="4" w:space="0" w:color="DA9694"/>
              <w:right w:val="nil"/>
            </w:tcBorders>
            <w:shd w:val="clear" w:color="auto" w:fill="auto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>61 – 90 días</w:t>
            </w:r>
          </w:p>
        </w:tc>
        <w:tc>
          <w:tcPr>
            <w:tcW w:w="1460" w:type="dxa"/>
            <w:tcBorders>
              <w:top w:val="single" w:sz="4" w:space="0" w:color="DA9694"/>
              <w:left w:val="nil"/>
              <w:bottom w:val="single" w:sz="4" w:space="0" w:color="DA9694"/>
              <w:right w:val="single" w:sz="4" w:space="0" w:color="DA9694"/>
            </w:tcBorders>
            <w:shd w:val="clear" w:color="auto" w:fill="auto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2,500 </w:t>
            </w:r>
          </w:p>
        </w:tc>
      </w:tr>
      <w:tr w:rsidR="00B42B6B" w:rsidRPr="00B42B6B" w:rsidTr="00556623">
        <w:trPr>
          <w:trHeight w:val="300"/>
          <w:jc w:val="center"/>
        </w:trPr>
        <w:tc>
          <w:tcPr>
            <w:tcW w:w="1948" w:type="dxa"/>
            <w:tcBorders>
              <w:top w:val="single" w:sz="4" w:space="0" w:color="DA9694"/>
              <w:left w:val="single" w:sz="4" w:space="0" w:color="DA9694"/>
              <w:bottom w:val="single" w:sz="4" w:space="0" w:color="DA9694"/>
              <w:right w:val="nil"/>
            </w:tcBorders>
            <w:shd w:val="clear" w:color="F2DCDB" w:fill="F2DCDB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        5,000 </w:t>
            </w:r>
          </w:p>
        </w:tc>
        <w:tc>
          <w:tcPr>
            <w:tcW w:w="1670" w:type="dxa"/>
            <w:tcBorders>
              <w:top w:val="single" w:sz="4" w:space="0" w:color="DA9694"/>
              <w:left w:val="nil"/>
              <w:bottom w:val="single" w:sz="4" w:space="0" w:color="DA9694"/>
              <w:right w:val="nil"/>
            </w:tcBorders>
            <w:shd w:val="clear" w:color="F2DCDB" w:fill="F2DCDB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>más de 90 días</w:t>
            </w:r>
          </w:p>
        </w:tc>
        <w:tc>
          <w:tcPr>
            <w:tcW w:w="1460" w:type="dxa"/>
            <w:tcBorders>
              <w:top w:val="single" w:sz="4" w:space="0" w:color="DA9694"/>
              <w:left w:val="nil"/>
              <w:bottom w:val="single" w:sz="4" w:space="0" w:color="DA9694"/>
              <w:right w:val="single" w:sz="4" w:space="0" w:color="DA9694"/>
            </w:tcBorders>
            <w:shd w:val="clear" w:color="F2DCDB" w:fill="F2DCDB"/>
            <w:noWrap/>
            <w:vAlign w:val="center"/>
            <w:hideMark/>
          </w:tcPr>
          <w:p w:rsidR="00B42B6B" w:rsidRPr="00B42B6B" w:rsidRDefault="00B42B6B" w:rsidP="00B42B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42B6B">
              <w:rPr>
                <w:rFonts w:ascii="Arial" w:hAnsi="Arial" w:cs="Arial"/>
                <w:color w:val="000000"/>
              </w:rPr>
              <w:t xml:space="preserve"> $    5,000 </w:t>
            </w:r>
          </w:p>
        </w:tc>
      </w:tr>
    </w:tbl>
    <w:p w:rsidR="008A1BBA" w:rsidRPr="00B42B6B" w:rsidRDefault="008A1BBA" w:rsidP="00B42B6B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8A1BBA" w:rsidRPr="00B42B6B" w:rsidSect="00D95837">
      <w:headerReference w:type="default" r:id="rId8"/>
      <w:footerReference w:type="default" r:id="rId9"/>
      <w:pgSz w:w="12240" w:h="15840"/>
      <w:pgMar w:top="1560" w:right="1701" w:bottom="1417" w:left="1701" w:header="708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E42" w:rsidRDefault="00245E42" w:rsidP="00184BB8">
      <w:pPr>
        <w:spacing w:after="0" w:line="240" w:lineRule="auto"/>
      </w:pPr>
      <w:r>
        <w:separator/>
      </w:r>
    </w:p>
  </w:endnote>
  <w:endnote w:type="continuationSeparator" w:id="0">
    <w:p w:rsidR="00245E42" w:rsidRDefault="00245E42" w:rsidP="0018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48" w:type="dxa"/>
      <w:tblInd w:w="-601" w:type="dxa"/>
      <w:tblLook w:val="04A0" w:firstRow="1" w:lastRow="0" w:firstColumn="1" w:lastColumn="0" w:noHBand="0" w:noVBand="1"/>
    </w:tblPr>
    <w:tblGrid>
      <w:gridCol w:w="7058"/>
      <w:gridCol w:w="3290"/>
    </w:tblGrid>
    <w:tr w:rsidR="0033019E" w:rsidRPr="008B04A6" w:rsidTr="0033019E">
      <w:trPr>
        <w:trHeight w:val="761"/>
      </w:trPr>
      <w:tc>
        <w:tcPr>
          <w:tcW w:w="7058" w:type="dxa"/>
        </w:tcPr>
        <w:p w:rsidR="0033019E" w:rsidRPr="008B04A6" w:rsidRDefault="00977AD2" w:rsidP="008448BE">
          <w:pPr>
            <w:pStyle w:val="Piedepgina"/>
            <w:spacing w:before="120"/>
            <w:rPr>
              <w:sz w:val="2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34176" behindDoc="0" locked="0" layoutInCell="1" allowOverlap="1" wp14:anchorId="5466B3A3" wp14:editId="0306516E">
                    <wp:simplePos x="0" y="0"/>
                    <wp:positionH relativeFrom="column">
                      <wp:posOffset>-41910</wp:posOffset>
                    </wp:positionH>
                    <wp:positionV relativeFrom="paragraph">
                      <wp:posOffset>22860</wp:posOffset>
                    </wp:positionV>
                    <wp:extent cx="5701030" cy="0"/>
                    <wp:effectExtent l="37465" t="33020" r="33655" b="33655"/>
                    <wp:wrapNone/>
                    <wp:docPr id="3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01030" cy="0"/>
                            </a:xfrm>
                            <a:prstGeom prst="straightConnector1">
                              <a:avLst/>
                            </a:prstGeom>
                            <a:noFill/>
                            <a:ln w="571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548F1C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-3.3pt;margin-top:1.8pt;width:448.9pt;height:0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" strokecolor="#a5a5a5 [2092]" strokeweight="4.5pt"/>
                </w:pict>
              </mc:Fallback>
            </mc:AlternateContent>
          </w:r>
          <w:r w:rsidR="00B42B6B">
            <w:rPr>
              <w:noProof/>
            </w:rPr>
            <w:t>POP_UP_U1_01</w:t>
          </w:r>
          <w:r w:rsidR="008A1BBA">
            <w:rPr>
              <w:sz w:val="20"/>
            </w:rPr>
            <w:t xml:space="preserve"> </w:t>
          </w:r>
        </w:p>
      </w:tc>
      <w:tc>
        <w:tcPr>
          <w:tcW w:w="3290" w:type="dxa"/>
        </w:tcPr>
        <w:p w:rsidR="0033019E" w:rsidRPr="00977AD2" w:rsidRDefault="00977AD2" w:rsidP="0033019E">
          <w:pPr>
            <w:spacing w:before="120" w:after="0" w:line="240" w:lineRule="auto"/>
            <w:jc w:val="right"/>
            <w:rPr>
              <w:sz w:val="18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40320" behindDoc="0" locked="0" layoutInCell="1" allowOverlap="1" wp14:anchorId="246E9AF1" wp14:editId="423AC8F3">
                    <wp:simplePos x="0" y="0"/>
                    <wp:positionH relativeFrom="column">
                      <wp:posOffset>1231265</wp:posOffset>
                    </wp:positionH>
                    <wp:positionV relativeFrom="paragraph">
                      <wp:posOffset>22860</wp:posOffset>
                    </wp:positionV>
                    <wp:extent cx="701675" cy="635"/>
                    <wp:effectExtent l="29845" t="33020" r="30480" b="33020"/>
                    <wp:wrapNone/>
                    <wp:docPr id="2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16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5715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24586B81" id="AutoShape 3" o:spid="_x0000_s1026" type="#_x0000_t32" style="position:absolute;margin-left:96.95pt;margin-top:1.8pt;width:55.25pt;height:.0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" strokecolor="red" strokeweight="4.5pt"/>
                </w:pict>
              </mc:Fallback>
            </mc:AlternateContent>
          </w:r>
          <w:r w:rsidRPr="00977AD2">
            <w:rPr>
              <w:sz w:val="18"/>
              <w:szCs w:val="20"/>
              <w:lang w:val="es-ES"/>
            </w:rPr>
            <w:t xml:space="preserve">Página </w:t>
          </w:r>
          <w:r w:rsidRPr="00977AD2">
            <w:rPr>
              <w:sz w:val="18"/>
              <w:szCs w:val="20"/>
            </w:rPr>
            <w:fldChar w:fldCharType="begin"/>
          </w:r>
          <w:r w:rsidRPr="00977AD2">
            <w:rPr>
              <w:sz w:val="18"/>
              <w:szCs w:val="20"/>
            </w:rPr>
            <w:instrText>PAGE  \* Arabic  \* MERGEFORMAT</w:instrText>
          </w:r>
          <w:r w:rsidRPr="00977AD2">
            <w:rPr>
              <w:sz w:val="18"/>
              <w:szCs w:val="20"/>
            </w:rPr>
            <w:fldChar w:fldCharType="separate"/>
          </w:r>
          <w:r w:rsidR="00B42B6B" w:rsidRPr="00B42B6B">
            <w:rPr>
              <w:noProof/>
              <w:sz w:val="18"/>
              <w:szCs w:val="20"/>
              <w:lang w:val="es-ES"/>
            </w:rPr>
            <w:t>1</w:t>
          </w:r>
          <w:r w:rsidRPr="00977AD2">
            <w:rPr>
              <w:sz w:val="18"/>
              <w:szCs w:val="20"/>
            </w:rPr>
            <w:fldChar w:fldCharType="end"/>
          </w:r>
          <w:r w:rsidRPr="00977AD2">
            <w:rPr>
              <w:sz w:val="18"/>
              <w:szCs w:val="20"/>
              <w:lang w:val="es-ES"/>
            </w:rPr>
            <w:t xml:space="preserve"> de </w:t>
          </w:r>
          <w:r w:rsidRPr="00977AD2">
            <w:rPr>
              <w:sz w:val="18"/>
              <w:szCs w:val="20"/>
            </w:rPr>
            <w:fldChar w:fldCharType="begin"/>
          </w:r>
          <w:r w:rsidRPr="00977AD2">
            <w:rPr>
              <w:sz w:val="18"/>
              <w:szCs w:val="20"/>
            </w:rPr>
            <w:instrText>NUMPAGES  \* Arabic  \* MERGEFORMAT</w:instrText>
          </w:r>
          <w:r w:rsidRPr="00977AD2">
            <w:rPr>
              <w:sz w:val="18"/>
              <w:szCs w:val="20"/>
            </w:rPr>
            <w:fldChar w:fldCharType="separate"/>
          </w:r>
          <w:r w:rsidR="00B42B6B" w:rsidRPr="00B42B6B">
            <w:rPr>
              <w:noProof/>
              <w:sz w:val="18"/>
              <w:szCs w:val="20"/>
              <w:lang w:val="es-ES"/>
            </w:rPr>
            <w:t>1</w:t>
          </w:r>
          <w:r w:rsidRPr="00977AD2">
            <w:rPr>
              <w:sz w:val="18"/>
              <w:szCs w:val="20"/>
            </w:rPr>
            <w:fldChar w:fldCharType="end"/>
          </w:r>
        </w:p>
        <w:p w:rsidR="0033019E" w:rsidRPr="008B04A6" w:rsidRDefault="0033019E" w:rsidP="0033019E">
          <w:pPr>
            <w:pStyle w:val="Piedepgina"/>
            <w:spacing w:before="120"/>
            <w:jc w:val="right"/>
          </w:pPr>
        </w:p>
      </w:tc>
    </w:tr>
  </w:tbl>
  <w:p w:rsidR="0033019E" w:rsidRDefault="003301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E42" w:rsidRDefault="00245E42" w:rsidP="00184BB8">
      <w:pPr>
        <w:spacing w:after="0" w:line="240" w:lineRule="auto"/>
      </w:pPr>
      <w:r>
        <w:separator/>
      </w:r>
    </w:p>
  </w:footnote>
  <w:footnote w:type="continuationSeparator" w:id="0">
    <w:p w:rsidR="00245E42" w:rsidRDefault="00245E42" w:rsidP="00184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19E" w:rsidRDefault="00977AD2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F0D93E" wp14:editId="09CAF53F">
              <wp:simplePos x="0" y="0"/>
              <wp:positionH relativeFrom="column">
                <wp:posOffset>-656590</wp:posOffset>
              </wp:positionH>
              <wp:positionV relativeFrom="paragraph">
                <wp:posOffset>416560</wp:posOffset>
              </wp:positionV>
              <wp:extent cx="6898640" cy="0"/>
              <wp:effectExtent l="13970" t="18415" r="12065" b="1016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9864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C63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51.7pt;margin-top:32.8pt;width:543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" strokecolor="#bfbfbf [2412]" strokeweight="1.5pt"/>
          </w:pict>
        </mc:Fallback>
      </mc:AlternateContent>
    </w:r>
    <w:r w:rsidR="0033019E" w:rsidRPr="00184BB8">
      <w:rPr>
        <w:noProof/>
      </w:rPr>
      <w:drawing>
        <wp:anchor distT="0" distB="0" distL="114300" distR="114300" simplePos="0" relativeHeight="251659264" behindDoc="1" locked="0" layoutInCell="1" allowOverlap="1" wp14:anchorId="4A2F1D92" wp14:editId="0C8E3FE9">
          <wp:simplePos x="0" y="0"/>
          <wp:positionH relativeFrom="column">
            <wp:posOffset>-620021</wp:posOffset>
          </wp:positionH>
          <wp:positionV relativeFrom="paragraph">
            <wp:posOffset>-245185</wp:posOffset>
          </wp:positionV>
          <wp:extent cx="1044687" cy="590401"/>
          <wp:effectExtent l="19050" t="0" r="1793" b="1816"/>
          <wp:wrapNone/>
          <wp:docPr id="1" name="0 Imagen" descr="logo F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3271" cy="5928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163CE"/>
    <w:multiLevelType w:val="hybridMultilevel"/>
    <w:tmpl w:val="22A6A3F8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6151E4"/>
    <w:multiLevelType w:val="hybridMultilevel"/>
    <w:tmpl w:val="7F683868"/>
    <w:lvl w:ilvl="0" w:tplc="FA7E7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AC8"/>
    <w:multiLevelType w:val="hybridMultilevel"/>
    <w:tmpl w:val="997A63F0"/>
    <w:lvl w:ilvl="0" w:tplc="2F7E7E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20DE5"/>
    <w:multiLevelType w:val="hybridMultilevel"/>
    <w:tmpl w:val="7ACC6C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C03BE"/>
    <w:multiLevelType w:val="hybridMultilevel"/>
    <w:tmpl w:val="78B4F7B6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855A0E"/>
    <w:multiLevelType w:val="hybridMultilevel"/>
    <w:tmpl w:val="1D7ED124"/>
    <w:lvl w:ilvl="0" w:tplc="0ED8E998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F5625"/>
    <w:multiLevelType w:val="hybridMultilevel"/>
    <w:tmpl w:val="D2D02FAC"/>
    <w:lvl w:ilvl="0" w:tplc="2236D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74B91"/>
    <w:multiLevelType w:val="hybridMultilevel"/>
    <w:tmpl w:val="5E426CA6"/>
    <w:lvl w:ilvl="0" w:tplc="8770391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F0212"/>
    <w:multiLevelType w:val="hybridMultilevel"/>
    <w:tmpl w:val="89CE4304"/>
    <w:lvl w:ilvl="0" w:tplc="5EA083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C5AC03F6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C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34532"/>
    <w:multiLevelType w:val="hybridMultilevel"/>
    <w:tmpl w:val="800CAF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25954"/>
    <w:multiLevelType w:val="singleLevel"/>
    <w:tmpl w:val="AF584B80"/>
    <w:lvl w:ilvl="0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lang w:val="es-ES"/>
      </w:rPr>
    </w:lvl>
  </w:abstractNum>
  <w:abstractNum w:abstractNumId="11">
    <w:nsid w:val="44510CDF"/>
    <w:multiLevelType w:val="hybridMultilevel"/>
    <w:tmpl w:val="FD509A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F7AFB"/>
    <w:multiLevelType w:val="hybridMultilevel"/>
    <w:tmpl w:val="85267A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8640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9345ED5"/>
    <w:multiLevelType w:val="hybridMultilevel"/>
    <w:tmpl w:val="DED8C4D4"/>
    <w:lvl w:ilvl="0" w:tplc="35960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25FC0"/>
    <w:multiLevelType w:val="hybridMultilevel"/>
    <w:tmpl w:val="898EB7A8"/>
    <w:lvl w:ilvl="0" w:tplc="F542AE38">
      <w:start w:val="1"/>
      <w:numFmt w:val="bullet"/>
      <w:lvlText w:val="à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C5A2A"/>
    <w:multiLevelType w:val="hybridMultilevel"/>
    <w:tmpl w:val="B0F059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F525C2"/>
    <w:multiLevelType w:val="hybridMultilevel"/>
    <w:tmpl w:val="7BF4C9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2727C"/>
    <w:multiLevelType w:val="hybridMultilevel"/>
    <w:tmpl w:val="A7223D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4F0C78"/>
    <w:multiLevelType w:val="hybridMultilevel"/>
    <w:tmpl w:val="B54832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9"/>
  </w:num>
  <w:num w:numId="5">
    <w:abstractNumId w:val="13"/>
  </w:num>
  <w:num w:numId="6">
    <w:abstractNumId w:val="16"/>
  </w:num>
  <w:num w:numId="7">
    <w:abstractNumId w:val="18"/>
  </w:num>
  <w:num w:numId="8">
    <w:abstractNumId w:val="2"/>
  </w:num>
  <w:num w:numId="9">
    <w:abstractNumId w:val="11"/>
  </w:num>
  <w:num w:numId="10">
    <w:abstractNumId w:val="19"/>
  </w:num>
  <w:num w:numId="11">
    <w:abstractNumId w:val="3"/>
  </w:num>
  <w:num w:numId="12">
    <w:abstractNumId w:val="4"/>
  </w:num>
  <w:num w:numId="13">
    <w:abstractNumId w:val="5"/>
  </w:num>
  <w:num w:numId="14">
    <w:abstractNumId w:val="15"/>
  </w:num>
  <w:num w:numId="15">
    <w:abstractNumId w:val="14"/>
  </w:num>
  <w:num w:numId="16">
    <w:abstractNumId w:val="1"/>
  </w:num>
  <w:num w:numId="17">
    <w:abstractNumId w:val="7"/>
  </w:num>
  <w:num w:numId="18">
    <w:abstractNumId w:val="8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2F7"/>
    <w:rsid w:val="00017F5D"/>
    <w:rsid w:val="00025B0E"/>
    <w:rsid w:val="00073D98"/>
    <w:rsid w:val="001062F7"/>
    <w:rsid w:val="00135B2F"/>
    <w:rsid w:val="00184BB8"/>
    <w:rsid w:val="001C2D1D"/>
    <w:rsid w:val="00245E42"/>
    <w:rsid w:val="002D2D86"/>
    <w:rsid w:val="002F71CC"/>
    <w:rsid w:val="00300C7E"/>
    <w:rsid w:val="0033019E"/>
    <w:rsid w:val="0034034D"/>
    <w:rsid w:val="00365169"/>
    <w:rsid w:val="00391FC3"/>
    <w:rsid w:val="003D2E20"/>
    <w:rsid w:val="003D535A"/>
    <w:rsid w:val="004B752D"/>
    <w:rsid w:val="004E32C4"/>
    <w:rsid w:val="00510A96"/>
    <w:rsid w:val="00523ECC"/>
    <w:rsid w:val="00610A79"/>
    <w:rsid w:val="0068629D"/>
    <w:rsid w:val="006C6FEF"/>
    <w:rsid w:val="006F6275"/>
    <w:rsid w:val="00756195"/>
    <w:rsid w:val="00775E0F"/>
    <w:rsid w:val="007D7730"/>
    <w:rsid w:val="00811DA2"/>
    <w:rsid w:val="008448BE"/>
    <w:rsid w:val="00882125"/>
    <w:rsid w:val="008A1BBA"/>
    <w:rsid w:val="008A2FA6"/>
    <w:rsid w:val="00971099"/>
    <w:rsid w:val="00977AD2"/>
    <w:rsid w:val="009C4BE7"/>
    <w:rsid w:val="009E6515"/>
    <w:rsid w:val="009F460F"/>
    <w:rsid w:val="00A65BDC"/>
    <w:rsid w:val="00AD7376"/>
    <w:rsid w:val="00B03370"/>
    <w:rsid w:val="00B42B6B"/>
    <w:rsid w:val="00B52BA7"/>
    <w:rsid w:val="00BA46A8"/>
    <w:rsid w:val="00BC3A8E"/>
    <w:rsid w:val="00CA0B49"/>
    <w:rsid w:val="00CB6D1F"/>
    <w:rsid w:val="00CC693B"/>
    <w:rsid w:val="00CF0118"/>
    <w:rsid w:val="00CF23DE"/>
    <w:rsid w:val="00D95837"/>
    <w:rsid w:val="00EA66FE"/>
    <w:rsid w:val="00ED1835"/>
    <w:rsid w:val="00F13187"/>
    <w:rsid w:val="00F205CF"/>
    <w:rsid w:val="00F437A3"/>
    <w:rsid w:val="00F9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6,#ff9"/>
    </o:shapedefaults>
    <o:shapelayout v:ext="edit">
      <o:idmap v:ext="edit" data="1"/>
    </o:shapelayout>
  </w:shapeDefaults>
  <w:decimalSymbol w:val="."/>
  <w:listSeparator w:val=","/>
  <w15:docId w15:val="{DEB94D68-6A7B-414C-80AC-36D676E11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FlietextersterAbsatz"/>
    <w:link w:val="Ttulo1Car"/>
    <w:qFormat/>
    <w:rsid w:val="004E32C4"/>
    <w:pPr>
      <w:keepNext/>
      <w:keepLines/>
      <w:tabs>
        <w:tab w:val="left" w:pos="709"/>
      </w:tabs>
      <w:suppressAutoHyphens/>
      <w:spacing w:after="240" w:line="240" w:lineRule="auto"/>
      <w:ind w:left="709" w:hanging="709"/>
      <w:outlineLvl w:val="0"/>
    </w:pPr>
    <w:rPr>
      <w:rFonts w:ascii="Arial" w:eastAsia="MS Mincho" w:hAnsi="Arial" w:cs="Arial"/>
      <w:bCs/>
      <w:sz w:val="36"/>
      <w:szCs w:val="36"/>
      <w:lang w:eastAsia="de-D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32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06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62F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84B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4BB8"/>
  </w:style>
  <w:style w:type="paragraph" w:styleId="Piedepgina">
    <w:name w:val="footer"/>
    <w:basedOn w:val="Normal"/>
    <w:link w:val="PiedepginaCar"/>
    <w:unhideWhenUsed/>
    <w:rsid w:val="00184B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84BB8"/>
  </w:style>
  <w:style w:type="paragraph" w:styleId="Sinespaciado">
    <w:name w:val="No Spacing"/>
    <w:basedOn w:val="Normal"/>
    <w:link w:val="SinespaciadoCar"/>
    <w:uiPriority w:val="1"/>
    <w:qFormat/>
    <w:rsid w:val="004E32C4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E32C4"/>
    <w:rPr>
      <w:rFonts w:ascii="Cambria" w:eastAsia="Times New Roman" w:hAnsi="Cambria" w:cs="Times New Roman"/>
      <w:lang w:bidi="en-US"/>
    </w:rPr>
  </w:style>
  <w:style w:type="character" w:customStyle="1" w:styleId="Ttulo1Car">
    <w:name w:val="Título 1 Car"/>
    <w:basedOn w:val="Fuentedeprrafopredeter"/>
    <w:link w:val="Ttulo1"/>
    <w:rsid w:val="004E32C4"/>
    <w:rPr>
      <w:rFonts w:ascii="Arial" w:eastAsia="MS Mincho" w:hAnsi="Arial" w:cs="Arial"/>
      <w:bCs/>
      <w:sz w:val="36"/>
      <w:szCs w:val="36"/>
      <w:lang w:eastAsia="de-DE"/>
    </w:rPr>
  </w:style>
  <w:style w:type="paragraph" w:customStyle="1" w:styleId="FlietextersterAbsatz">
    <w:name w:val="Fließtext erster Absatz"/>
    <w:basedOn w:val="Normal"/>
    <w:next w:val="Normal"/>
    <w:qFormat/>
    <w:rsid w:val="004E32C4"/>
    <w:pPr>
      <w:spacing w:after="0" w:line="260" w:lineRule="exact"/>
      <w:jc w:val="both"/>
    </w:pPr>
    <w:rPr>
      <w:rFonts w:ascii="Arial" w:eastAsia="Times New Roman" w:hAnsi="Arial" w:cs="Arial"/>
      <w:b/>
      <w:szCs w:val="24"/>
      <w:lang w:eastAsia="ar-SA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4E32C4"/>
    <w:pPr>
      <w:spacing w:after="120" w:line="480" w:lineRule="auto"/>
      <w:jc w:val="both"/>
    </w:pPr>
    <w:rPr>
      <w:rFonts w:ascii="Arial" w:eastAsia="Times New Roman" w:hAnsi="Arial" w:cs="Times New Roman"/>
      <w:szCs w:val="24"/>
      <w:lang w:eastAsia="de-D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4E32C4"/>
    <w:rPr>
      <w:rFonts w:ascii="Arial" w:eastAsia="Times New Roman" w:hAnsi="Arial" w:cs="Times New Roman"/>
      <w:szCs w:val="24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32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lietext">
    <w:name w:val="Fließtext"/>
    <w:qFormat/>
    <w:rsid w:val="004E32C4"/>
    <w:pPr>
      <w:spacing w:after="0" w:line="260" w:lineRule="exact"/>
      <w:ind w:firstLine="284"/>
      <w:jc w:val="both"/>
    </w:pPr>
    <w:rPr>
      <w:rFonts w:ascii="Arial" w:eastAsia="Times New Roman" w:hAnsi="Arial" w:cs="Arial"/>
      <w:b/>
      <w:szCs w:val="24"/>
      <w:lang w:eastAsia="ar-SA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5619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56195"/>
    <w:rPr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unhideWhenUsed/>
    <w:rsid w:val="00756195"/>
    <w:pPr>
      <w:spacing w:after="120" w:line="260" w:lineRule="exact"/>
      <w:jc w:val="both"/>
    </w:pPr>
    <w:rPr>
      <w:rFonts w:ascii="Arial" w:eastAsia="Times New Roman" w:hAnsi="Arial" w:cs="Times New Roman"/>
      <w:szCs w:val="24"/>
      <w:lang w:eastAsia="de-D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56195"/>
    <w:rPr>
      <w:rFonts w:ascii="Arial" w:eastAsia="Times New Roman" w:hAnsi="Arial" w:cs="Times New Roman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756195"/>
    <w:pPr>
      <w:spacing w:after="240" w:line="260" w:lineRule="exact"/>
      <w:ind w:left="708"/>
      <w:jc w:val="both"/>
    </w:pPr>
    <w:rPr>
      <w:rFonts w:ascii="Arial" w:eastAsia="Times New Roman" w:hAnsi="Arial" w:cs="Times New Roman"/>
      <w:szCs w:val="24"/>
      <w:lang w:eastAsia="de-DE"/>
    </w:rPr>
  </w:style>
  <w:style w:type="paragraph" w:customStyle="1" w:styleId="Normal-0">
    <w:name w:val="Normal-0"/>
    <w:basedOn w:val="Normal"/>
    <w:rsid w:val="007561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MS Sans Serif" w:eastAsia="Times New Roman" w:hAnsi="MS Sans Serif" w:cs="Times New Roman"/>
      <w:sz w:val="24"/>
      <w:szCs w:val="20"/>
      <w:lang w:val="de-DE"/>
    </w:rPr>
  </w:style>
  <w:style w:type="paragraph" w:customStyle="1" w:styleId="BankNormal">
    <w:name w:val="BankNormal"/>
    <w:basedOn w:val="Normal"/>
    <w:rsid w:val="007561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510A96"/>
    <w:pPr>
      <w:tabs>
        <w:tab w:val="clear" w:pos="709"/>
      </w:tabs>
      <w:suppressAutoHyphens w:val="0"/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510A9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510A9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510A96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510A96"/>
    <w:rPr>
      <w:color w:val="0000FF" w:themeColor="hyperlink"/>
      <w:u w:val="single"/>
    </w:rPr>
  </w:style>
  <w:style w:type="table" w:styleId="Tablaconcuadrcula">
    <w:name w:val="Table Grid"/>
    <w:basedOn w:val="Tablanormal"/>
    <w:rsid w:val="00D95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vistosa-nfasis2">
    <w:name w:val="Colorful List Accent 2"/>
    <w:basedOn w:val="Tablanormal"/>
    <w:uiPriority w:val="72"/>
    <w:rsid w:val="008A1BBA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val="es-PE" w:eastAsia="es-P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ladecuadrcula4-nfasis21">
    <w:name w:val="Tabla de cuadrícula 4 - Énfasis 21"/>
    <w:basedOn w:val="Tablanormal"/>
    <w:uiPriority w:val="49"/>
    <w:rsid w:val="008A1BBA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523ECC"/>
    <w:pPr>
      <w:spacing w:after="0" w:line="240" w:lineRule="auto"/>
    </w:pPr>
    <w:rPr>
      <w:rFonts w:ascii="Calibri" w:eastAsia="Calibri" w:hAnsi="Calibri" w:cs="Times New Roman"/>
      <w:sz w:val="20"/>
      <w:szCs w:val="20"/>
      <w:lang w:val="es-PE" w:eastAsia="de-D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1-nfasis2">
    <w:name w:val="Medium Shading 1 Accent 2"/>
    <w:basedOn w:val="Tablanormal"/>
    <w:uiPriority w:val="63"/>
    <w:rsid w:val="00B42B6B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0F38E-4AAA-4247-B9EE-678EC342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Miryam-PATMIR</dc:creator>
  <cp:lastModifiedBy>cinthya ochoa</cp:lastModifiedBy>
  <cp:revision>2</cp:revision>
  <cp:lastPrinted>2014-09-19T18:02:00Z</cp:lastPrinted>
  <dcterms:created xsi:type="dcterms:W3CDTF">2014-10-22T04:50:00Z</dcterms:created>
  <dcterms:modified xsi:type="dcterms:W3CDTF">2014-10-22T04:50:00Z</dcterms:modified>
</cp:coreProperties>
</file>