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2DF" w:rsidRPr="007766DD" w:rsidRDefault="007766DD" w:rsidP="007766DD">
      <w:pPr>
        <w:jc w:val="center"/>
        <w:rPr>
          <w:b/>
          <w:sz w:val="24"/>
          <w:szCs w:val="24"/>
        </w:rPr>
      </w:pPr>
      <w:r w:rsidRPr="007766DD">
        <w:rPr>
          <w:b/>
          <w:sz w:val="24"/>
          <w:szCs w:val="24"/>
        </w:rPr>
        <w:t>INFORMACION PARA PAGINA DE INTERNET</w:t>
      </w:r>
    </w:p>
    <w:p w:rsidR="008B43E6" w:rsidRPr="00D45DC2" w:rsidRDefault="008B43E6" w:rsidP="008B43E6">
      <w:pPr>
        <w:spacing w:after="160" w:line="240" w:lineRule="auto"/>
        <w:contextualSpacing/>
        <w:rPr>
          <w:bCs/>
        </w:rPr>
      </w:pPr>
      <w:r w:rsidRPr="00D45DC2">
        <w:rPr>
          <w:bCs/>
        </w:rPr>
        <w:t>GAT NOMINAL 2.53 %</w:t>
      </w:r>
      <w:r>
        <w:rPr>
          <w:bCs/>
        </w:rPr>
        <w:t xml:space="preserve"> </w:t>
      </w:r>
      <w:r w:rsidRPr="00D45DC2">
        <w:rPr>
          <w:bCs/>
        </w:rPr>
        <w:t>ANUAL FIJO</w:t>
      </w:r>
    </w:p>
    <w:p w:rsidR="008B43E6" w:rsidRPr="00D45DC2" w:rsidRDefault="008B43E6" w:rsidP="008B43E6">
      <w:pPr>
        <w:spacing w:after="160" w:line="240" w:lineRule="auto"/>
        <w:contextualSpacing/>
        <w:rPr>
          <w:bCs/>
        </w:rPr>
      </w:pPr>
      <w:r w:rsidRPr="00D45DC2">
        <w:rPr>
          <w:bCs/>
        </w:rPr>
        <w:t>Antes de impuestos, para fine</w:t>
      </w:r>
      <w:r>
        <w:rPr>
          <w:bCs/>
        </w:rPr>
        <w:t>s informativos y de comparación, e</w:t>
      </w:r>
      <w:r w:rsidRPr="00D45DC2">
        <w:rPr>
          <w:bCs/>
        </w:rPr>
        <w:t>xpresada e</w:t>
      </w:r>
      <w:r>
        <w:rPr>
          <w:bCs/>
        </w:rPr>
        <w:t>n términos porcentuales anuales al 01 de enero de 2017.</w:t>
      </w:r>
    </w:p>
    <w:p w:rsidR="008B43E6" w:rsidRDefault="008B43E6" w:rsidP="008B43E6"/>
    <w:p w:rsidR="008B43E6" w:rsidRPr="00D45DC2" w:rsidRDefault="008B43E6" w:rsidP="008B43E6">
      <w:pPr>
        <w:spacing w:after="160" w:line="240" w:lineRule="auto"/>
        <w:contextualSpacing/>
        <w:rPr>
          <w:bCs/>
        </w:rPr>
      </w:pPr>
      <w:r w:rsidRPr="00D45DC2">
        <w:rPr>
          <w:bCs/>
        </w:rPr>
        <w:t>GAT REAL</w:t>
      </w:r>
      <w:r>
        <w:rPr>
          <w:bCs/>
        </w:rPr>
        <w:t xml:space="preserve"> </w:t>
      </w:r>
      <w:r w:rsidRPr="00D45DC2">
        <w:rPr>
          <w:bCs/>
        </w:rPr>
        <w:t>0.93%</w:t>
      </w:r>
    </w:p>
    <w:p w:rsidR="008B43E6" w:rsidRDefault="008B43E6" w:rsidP="008B43E6">
      <w:pPr>
        <w:spacing w:line="240" w:lineRule="auto"/>
        <w:contextualSpacing/>
        <w:rPr>
          <w:bCs/>
        </w:rPr>
      </w:pPr>
      <w:r w:rsidRPr="00D45DC2">
        <w:rPr>
          <w:bCs/>
        </w:rPr>
        <w:t>Antes de impuestos para fine</w:t>
      </w:r>
      <w:r>
        <w:rPr>
          <w:bCs/>
        </w:rPr>
        <w:t xml:space="preserve">s informativos y de comparación, </w:t>
      </w:r>
      <w:r w:rsidRPr="00D45DC2">
        <w:rPr>
          <w:bCs/>
        </w:rPr>
        <w:t>expresada en</w:t>
      </w:r>
      <w:r>
        <w:rPr>
          <w:bCs/>
        </w:rPr>
        <w:t xml:space="preserve"> términos</w:t>
      </w:r>
      <w:r>
        <w:rPr>
          <w:bCs/>
        </w:rPr>
        <w:br/>
        <w:t>porcentuales anuales al 01 de enero de 2017.</w:t>
      </w:r>
    </w:p>
    <w:p w:rsidR="008B43E6" w:rsidRDefault="008B43E6" w:rsidP="008B43E6">
      <w:pPr>
        <w:spacing w:line="240" w:lineRule="auto"/>
        <w:contextualSpacing/>
        <w:rPr>
          <w:bCs/>
        </w:rPr>
      </w:pPr>
      <w:r w:rsidRPr="00D45DC2">
        <w:rPr>
          <w:bCs/>
        </w:rPr>
        <w:t>La GAT REAL es el rendimiento que obtendrá después de descontar la inflación estimada.</w:t>
      </w:r>
    </w:p>
    <w:p w:rsidR="007072B4" w:rsidRDefault="007072B4" w:rsidP="008B43E6">
      <w:pPr>
        <w:pBdr>
          <w:bottom w:val="single" w:sz="4" w:space="1" w:color="auto"/>
        </w:pBdr>
        <w:rPr>
          <w:b/>
          <w:sz w:val="24"/>
          <w:szCs w:val="24"/>
        </w:rPr>
      </w:pPr>
    </w:p>
    <w:p w:rsidR="008B43E6" w:rsidRDefault="008B43E6" w:rsidP="008B43E6">
      <w:pPr>
        <w:jc w:val="both"/>
        <w:rPr>
          <w:bCs/>
        </w:rPr>
      </w:pPr>
    </w:p>
    <w:p w:rsidR="008B43E6" w:rsidRDefault="008B43E6" w:rsidP="008B43E6">
      <w:pPr>
        <w:jc w:val="both"/>
        <w:rPr>
          <w:bCs/>
        </w:rPr>
      </w:pPr>
      <w:r w:rsidRPr="00D45DC2">
        <w:rPr>
          <w:bCs/>
        </w:rPr>
        <w:t xml:space="preserve">Los recursos depositados en esta cuenta están protegidos por el Fondo de Protección a que se refiere el </w:t>
      </w:r>
      <w:r w:rsidRPr="00194752">
        <w:rPr>
          <w:bCs/>
        </w:rPr>
        <w:t xml:space="preserve"> artículo 54 de la Ley para Regular las Actividades de las Sociedades Cooperativas de Ahorro y Préstamo, protegiendo los depósitos existentes hasta por una cantidad equivalente a 25,000 (veinticinco mi</w:t>
      </w:r>
      <w:r>
        <w:rPr>
          <w:bCs/>
        </w:rPr>
        <w:t>l) UDIS (unidades de inversión) por persona.</w:t>
      </w:r>
    </w:p>
    <w:p w:rsidR="008B43E6" w:rsidRDefault="008B43E6" w:rsidP="008B43E6">
      <w:pPr>
        <w:pBdr>
          <w:bottom w:val="single" w:sz="4" w:space="1" w:color="auto"/>
        </w:pBdr>
        <w:rPr>
          <w:b/>
        </w:rPr>
      </w:pPr>
    </w:p>
    <w:p w:rsidR="008B43E6" w:rsidRDefault="008B43E6">
      <w:pPr>
        <w:rPr>
          <w:b/>
        </w:rPr>
      </w:pPr>
    </w:p>
    <w:p w:rsidR="007072B4" w:rsidRDefault="008B43E6">
      <w:pPr>
        <w:rPr>
          <w:b/>
        </w:rPr>
      </w:pPr>
      <w:r>
        <w:rPr>
          <w:b/>
        </w:rPr>
        <w:t>BURO DE ENTIDADES FINANCIERAS</w:t>
      </w:r>
    </w:p>
    <w:p w:rsidR="008B43E6" w:rsidRPr="008B43E6" w:rsidRDefault="000A28DB" w:rsidP="002676C6">
      <w:pPr>
        <w:pBdr>
          <w:bottom w:val="single" w:sz="4" w:space="1" w:color="auto"/>
        </w:pBdr>
        <w:shd w:val="clear" w:color="auto" w:fill="FFFFFF"/>
        <w:spacing w:after="150" w:line="240" w:lineRule="auto"/>
        <w:ind w:firstLine="708"/>
        <w:contextualSpacing/>
        <w:jc w:val="both"/>
        <w:rPr>
          <w:rFonts w:eastAsia="Times New Roman" w:cs="Arial"/>
          <w:color w:val="333333"/>
          <w:lang w:eastAsia="es-MX"/>
        </w:rPr>
      </w:pPr>
      <w:r w:rsidRPr="000A28DB">
        <w:rPr>
          <w:rFonts w:cs="Arial"/>
          <w:color w:val="000000"/>
          <w:shd w:val="clear" w:color="auto" w:fill="FFFFFF"/>
        </w:rPr>
        <w:t>El buró de Entidades Financieras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eastAsia="Times New Roman" w:cs="Arial"/>
          <w:color w:val="333333"/>
          <w:lang w:eastAsia="es-MX"/>
        </w:rPr>
        <w:t>e</w:t>
      </w:r>
      <w:r w:rsidR="008B43E6" w:rsidRPr="008B43E6">
        <w:rPr>
          <w:rFonts w:eastAsia="Times New Roman" w:cs="Arial"/>
          <w:color w:val="333333"/>
          <w:lang w:eastAsia="es-MX"/>
        </w:rPr>
        <w:t>s una herramienta de consulta y difusión con la que podrás conocer los productos que ofrecen las entidades financieras, sus comisiones y tasas, las reclamaciones de los usuarios, las prácticas no sanas en que incurren, las sanciones administrativas que les han impuesto, las cláusulas abusivas de sus contratos y otra información que resulte relevante para informarte sobre su desempeño.</w:t>
      </w:r>
    </w:p>
    <w:p w:rsidR="008B43E6" w:rsidRPr="008B43E6" w:rsidRDefault="008B43E6" w:rsidP="002676C6">
      <w:pPr>
        <w:pBdr>
          <w:bottom w:val="single" w:sz="4" w:space="1" w:color="auto"/>
        </w:pBdr>
        <w:shd w:val="clear" w:color="auto" w:fill="FFFFFF"/>
        <w:spacing w:after="150" w:line="240" w:lineRule="auto"/>
        <w:contextualSpacing/>
        <w:jc w:val="both"/>
        <w:rPr>
          <w:rFonts w:eastAsia="Times New Roman" w:cs="Arial"/>
          <w:color w:val="333333"/>
          <w:lang w:eastAsia="es-MX"/>
        </w:rPr>
      </w:pPr>
      <w:r w:rsidRPr="008B43E6">
        <w:rPr>
          <w:rFonts w:eastAsia="Times New Roman" w:cs="Arial"/>
          <w:color w:val="333333"/>
          <w:lang w:eastAsia="es-MX"/>
        </w:rPr>
        <w:t>Con el Buró de Entidades Financieras, se logrará saber quién es quién en bancos, seguros, sociedades financieras de objeto múltiple, cajas de ahorro, afores, entre otras entidades.</w:t>
      </w:r>
    </w:p>
    <w:p w:rsidR="008B43E6" w:rsidRDefault="008B43E6" w:rsidP="002676C6">
      <w:pPr>
        <w:pBdr>
          <w:bottom w:val="single" w:sz="4" w:space="1" w:color="auto"/>
        </w:pBdr>
        <w:shd w:val="clear" w:color="auto" w:fill="FFFFFF"/>
        <w:spacing w:after="150" w:line="240" w:lineRule="auto"/>
        <w:contextualSpacing/>
        <w:jc w:val="both"/>
        <w:rPr>
          <w:rFonts w:eastAsia="Times New Roman" w:cs="Arial"/>
          <w:color w:val="333333"/>
          <w:lang w:eastAsia="es-MX"/>
        </w:rPr>
      </w:pPr>
      <w:r w:rsidRPr="008B43E6">
        <w:rPr>
          <w:rFonts w:eastAsia="Times New Roman" w:cs="Arial"/>
          <w:color w:val="333333"/>
          <w:lang w:eastAsia="es-MX"/>
        </w:rPr>
        <w:t>Con ello, podrás comparar y evaluar a las entidades financieras, sus productos y servicios y tendrás mayores elementos para elegir lo que más te convenga.</w:t>
      </w:r>
    </w:p>
    <w:p w:rsidR="000A28DB" w:rsidRPr="008B43E6" w:rsidRDefault="000A28DB" w:rsidP="002676C6">
      <w:pPr>
        <w:pBdr>
          <w:bottom w:val="single" w:sz="4" w:space="1" w:color="auto"/>
        </w:pBdr>
        <w:shd w:val="clear" w:color="auto" w:fill="FFFFFF"/>
        <w:spacing w:after="150" w:line="240" w:lineRule="auto"/>
        <w:contextualSpacing/>
        <w:jc w:val="both"/>
        <w:rPr>
          <w:rFonts w:eastAsia="Times New Roman" w:cs="Arial"/>
          <w:color w:val="333333"/>
          <w:lang w:eastAsia="es-MX"/>
        </w:rPr>
      </w:pPr>
    </w:p>
    <w:p w:rsidR="008B43E6" w:rsidRPr="008B43E6" w:rsidRDefault="008B43E6" w:rsidP="002676C6">
      <w:pPr>
        <w:pBdr>
          <w:bottom w:val="single" w:sz="4" w:space="1" w:color="auto"/>
        </w:pBdr>
        <w:shd w:val="clear" w:color="auto" w:fill="FFFFFF"/>
        <w:spacing w:after="150" w:line="240" w:lineRule="auto"/>
        <w:contextualSpacing/>
        <w:jc w:val="both"/>
        <w:rPr>
          <w:rFonts w:eastAsia="Times New Roman" w:cs="Arial"/>
          <w:color w:val="333333"/>
          <w:lang w:eastAsia="es-MX"/>
        </w:rPr>
      </w:pPr>
      <w:r w:rsidRPr="008B43E6">
        <w:rPr>
          <w:rFonts w:eastAsia="Times New Roman" w:cs="Arial"/>
          <w:color w:val="333333"/>
          <w:lang w:eastAsia="es-MX"/>
        </w:rPr>
        <w:t>Esta información te será útil para elegir un producto financiero y también para conocer y usar mejor los que ya tienes.</w:t>
      </w:r>
      <w:r w:rsidR="000A28DB">
        <w:rPr>
          <w:rFonts w:eastAsia="Times New Roman" w:cs="Arial"/>
          <w:color w:val="333333"/>
          <w:lang w:eastAsia="es-MX"/>
        </w:rPr>
        <w:t xml:space="preserve"> Contiene información de CAJA SAN RAFAEL S.C. DE A.P. DE R.L. DE C.V. sobre nuestro desempeño frente a los usuarios por la prestación de productos y servicios, te invitamos a consultarlo:</w:t>
      </w:r>
    </w:p>
    <w:p w:rsidR="00924D86" w:rsidRDefault="00924D86" w:rsidP="002676C6">
      <w:pPr>
        <w:pStyle w:val="NormalWeb"/>
        <w:pBdr>
          <w:bottom w:val="single" w:sz="4" w:space="1" w:color="auto"/>
        </w:pBdr>
        <w:shd w:val="clear" w:color="auto" w:fill="FFFFFF"/>
        <w:spacing w:before="0" w:beforeAutospacing="0" w:after="150" w:afterAutospacing="0"/>
        <w:contextualSpacing/>
        <w:jc w:val="both"/>
        <w:rPr>
          <w:rFonts w:asciiTheme="minorHAnsi" w:hAnsiTheme="minorHAnsi" w:cs="Arial"/>
          <w:color w:val="333333"/>
          <w:sz w:val="22"/>
          <w:szCs w:val="22"/>
        </w:rPr>
      </w:pPr>
    </w:p>
    <w:p w:rsidR="002676C6" w:rsidRDefault="002676C6" w:rsidP="002676C6">
      <w:pPr>
        <w:pStyle w:val="NormalWeb"/>
        <w:pBdr>
          <w:bottom w:val="single" w:sz="4" w:space="1" w:color="auto"/>
        </w:pBdr>
        <w:shd w:val="clear" w:color="auto" w:fill="FFFFFF"/>
        <w:spacing w:before="0" w:beforeAutospacing="0" w:after="150" w:afterAutospacing="0"/>
        <w:contextualSpacing/>
        <w:jc w:val="both"/>
        <w:rPr>
          <w:rFonts w:asciiTheme="minorHAnsi" w:hAnsiTheme="minorHAnsi" w:cs="Arial"/>
          <w:color w:val="333333"/>
          <w:sz w:val="22"/>
          <w:szCs w:val="22"/>
        </w:rPr>
      </w:pPr>
      <w:bookmarkStart w:id="0" w:name="_GoBack"/>
      <w:bookmarkEnd w:id="0"/>
    </w:p>
    <w:p w:rsidR="002676C6" w:rsidRDefault="002676C6" w:rsidP="002676C6">
      <w:pPr>
        <w:spacing w:before="150" w:after="150" w:line="240" w:lineRule="auto"/>
        <w:jc w:val="both"/>
        <w:rPr>
          <w:rFonts w:eastAsia="Times New Roman" w:cs="Arial"/>
          <w:b/>
          <w:bCs/>
          <w:lang w:eastAsia="es-MX"/>
        </w:rPr>
      </w:pPr>
      <w:r w:rsidRPr="00176FC2">
        <w:rPr>
          <w:rFonts w:eastAsia="Times New Roman" w:cs="Arial"/>
          <w:b/>
          <w:bCs/>
          <w:lang w:eastAsia="es-MX"/>
        </w:rPr>
        <w:t xml:space="preserve">Términos y condiciones para la contratación del servicio </w:t>
      </w:r>
    </w:p>
    <w:p w:rsidR="002676C6" w:rsidRPr="004656A5" w:rsidRDefault="002676C6" w:rsidP="002676C6">
      <w:pPr>
        <w:spacing w:before="150" w:after="150" w:line="240" w:lineRule="auto"/>
        <w:jc w:val="both"/>
        <w:rPr>
          <w:rFonts w:eastAsia="Times New Roman" w:cs="Arial"/>
          <w:bCs/>
          <w:lang w:eastAsia="es-MX"/>
        </w:rPr>
      </w:pPr>
      <w:r w:rsidRPr="00176FC2">
        <w:rPr>
          <w:rFonts w:eastAsia="Times New Roman" w:cs="Arial"/>
          <w:b/>
          <w:bCs/>
          <w:lang w:eastAsia="es-MX"/>
        </w:rPr>
        <w:t>CONTRATACIÓN</w:t>
      </w:r>
      <w:r>
        <w:rPr>
          <w:rFonts w:eastAsia="Times New Roman" w:cs="Arial"/>
          <w:bCs/>
          <w:lang w:eastAsia="es-MX"/>
        </w:rPr>
        <w:t>. La contratación de las cuentas de ahorro</w:t>
      </w:r>
      <w:r w:rsidRPr="004656A5">
        <w:rPr>
          <w:rFonts w:eastAsia="Times New Roman" w:cs="Arial"/>
          <w:bCs/>
          <w:lang w:eastAsia="es-MX"/>
        </w:rPr>
        <w:t xml:space="preserve"> será mediante firma autógrafa del Socio.</w:t>
      </w:r>
    </w:p>
    <w:p w:rsidR="002676C6" w:rsidRPr="004656A5" w:rsidRDefault="002676C6" w:rsidP="002676C6">
      <w:pPr>
        <w:spacing w:before="150" w:after="150" w:line="240" w:lineRule="auto"/>
        <w:jc w:val="both"/>
        <w:rPr>
          <w:rFonts w:eastAsia="Times New Roman" w:cs="Arial"/>
          <w:bCs/>
          <w:lang w:eastAsia="es-MX"/>
        </w:rPr>
      </w:pPr>
      <w:r w:rsidRPr="004656A5">
        <w:rPr>
          <w:rFonts w:eastAsia="Times New Roman" w:cs="Arial"/>
          <w:b/>
          <w:bCs/>
          <w:lang w:eastAsia="es-MX"/>
        </w:rPr>
        <w:lastRenderedPageBreak/>
        <w:t>PRESTACIÓN DEL SERVICIO.</w:t>
      </w:r>
      <w:r w:rsidRPr="004656A5">
        <w:rPr>
          <w:rFonts w:eastAsia="Times New Roman" w:cs="Arial"/>
          <w:bCs/>
          <w:lang w:eastAsia="es-MX"/>
        </w:rPr>
        <w:t> El servicio estará disponible a partir de la fecha de su contratación en cada una de las sucursales de Caja San Rafael.</w:t>
      </w:r>
    </w:p>
    <w:p w:rsidR="002676C6" w:rsidRPr="004656A5" w:rsidRDefault="002676C6" w:rsidP="002676C6">
      <w:pPr>
        <w:spacing w:before="150" w:after="150" w:line="240" w:lineRule="auto"/>
        <w:jc w:val="both"/>
        <w:rPr>
          <w:rFonts w:eastAsia="Times New Roman" w:cs="Arial"/>
          <w:bCs/>
          <w:lang w:eastAsia="es-MX"/>
        </w:rPr>
      </w:pPr>
      <w:r w:rsidRPr="008168D6">
        <w:rPr>
          <w:rFonts w:eastAsia="Times New Roman" w:cs="Arial"/>
          <w:b/>
          <w:bCs/>
          <w:lang w:eastAsia="es-MX"/>
        </w:rPr>
        <w:t>DEL EST</w:t>
      </w:r>
      <w:r>
        <w:rPr>
          <w:rFonts w:eastAsia="Times New Roman" w:cs="Arial"/>
          <w:b/>
          <w:bCs/>
          <w:lang w:eastAsia="es-MX"/>
        </w:rPr>
        <w:t>ADO</w:t>
      </w:r>
      <w:r w:rsidRPr="008168D6">
        <w:rPr>
          <w:rFonts w:eastAsia="Times New Roman" w:cs="Arial"/>
          <w:b/>
          <w:bCs/>
          <w:lang w:eastAsia="es-MX"/>
        </w:rPr>
        <w:t xml:space="preserve"> DE CUENTA (PERIORICIDAD Y DISPOSICION</w:t>
      </w:r>
      <w:proofErr w:type="gramStart"/>
      <w:r w:rsidRPr="008168D6">
        <w:rPr>
          <w:rFonts w:eastAsia="Times New Roman" w:cs="Arial"/>
          <w:b/>
          <w:bCs/>
          <w:lang w:eastAsia="es-MX"/>
        </w:rPr>
        <w:t xml:space="preserve">) </w:t>
      </w:r>
      <w:r w:rsidRPr="004656A5">
        <w:rPr>
          <w:rFonts w:eastAsia="Times New Roman" w:cs="Arial"/>
          <w:bCs/>
          <w:lang w:eastAsia="es-MX"/>
        </w:rPr>
        <w:t>.</w:t>
      </w:r>
      <w:proofErr w:type="gramEnd"/>
      <w:r>
        <w:rPr>
          <w:rFonts w:eastAsia="Times New Roman" w:cs="Arial"/>
          <w:bCs/>
          <w:lang w:eastAsia="es-MX"/>
        </w:rPr>
        <w:t xml:space="preserve"> Se encontrará a disposición del </w:t>
      </w:r>
      <w:r w:rsidRPr="004656A5">
        <w:rPr>
          <w:rFonts w:eastAsia="Times New Roman" w:cs="Arial"/>
          <w:bCs/>
          <w:lang w:eastAsia="es-MX"/>
        </w:rPr>
        <w:t>Socio</w:t>
      </w:r>
      <w:r>
        <w:rPr>
          <w:rFonts w:eastAsia="Times New Roman" w:cs="Arial"/>
          <w:bCs/>
          <w:lang w:eastAsia="es-MX"/>
        </w:rPr>
        <w:t xml:space="preserve"> en el momento en que lo solicite en cada una de las </w:t>
      </w:r>
      <w:r w:rsidRPr="004656A5">
        <w:rPr>
          <w:rFonts w:eastAsia="Times New Roman" w:cs="Arial"/>
          <w:bCs/>
          <w:lang w:eastAsia="es-MX"/>
        </w:rPr>
        <w:t>sucursales de Caja San Rafael.</w:t>
      </w:r>
      <w:r>
        <w:rPr>
          <w:rFonts w:eastAsia="Times New Roman" w:cs="Arial"/>
          <w:bCs/>
          <w:lang w:eastAsia="es-MX"/>
        </w:rPr>
        <w:t xml:space="preserve"> Si requiere que</w:t>
      </w:r>
      <w:r w:rsidRPr="004656A5">
        <w:rPr>
          <w:rFonts w:eastAsia="Times New Roman" w:cs="Arial"/>
          <w:bCs/>
          <w:lang w:eastAsia="es-MX"/>
        </w:rPr>
        <w:t xml:space="preserve"> la información del Estado de Cuenta se haga llegar por medios electrónicos deberá solicitarlo por escrito proporcionando un correo electrónico al cual se </w:t>
      </w:r>
      <w:r>
        <w:rPr>
          <w:rFonts w:eastAsia="Times New Roman" w:cs="Arial"/>
          <w:bCs/>
          <w:lang w:eastAsia="es-MX"/>
        </w:rPr>
        <w:t xml:space="preserve">hará llegar dicha información de </w:t>
      </w:r>
      <w:r w:rsidRPr="004656A5">
        <w:rPr>
          <w:rFonts w:eastAsia="Times New Roman" w:cs="Arial"/>
          <w:bCs/>
          <w:lang w:eastAsia="es-MX"/>
        </w:rPr>
        <w:t>forma gratuita al domicilio reportado durante intervalos, de períodos que no podrán ser mayores a 6 meses, el cuál contendrá información</w:t>
      </w:r>
      <w:r>
        <w:rPr>
          <w:rFonts w:eastAsia="Times New Roman" w:cs="Arial"/>
          <w:bCs/>
          <w:lang w:eastAsia="es-MX"/>
        </w:rPr>
        <w:t xml:space="preserve"> del período de corte reciente.</w:t>
      </w:r>
    </w:p>
    <w:p w:rsidR="002676C6" w:rsidRPr="004656A5" w:rsidRDefault="002676C6" w:rsidP="002676C6">
      <w:pPr>
        <w:spacing w:before="150" w:after="150" w:line="240" w:lineRule="auto"/>
        <w:jc w:val="both"/>
        <w:rPr>
          <w:rFonts w:eastAsia="Times New Roman" w:cs="Arial"/>
          <w:bCs/>
          <w:lang w:eastAsia="es-MX"/>
        </w:rPr>
      </w:pPr>
      <w:r w:rsidRPr="008168D6">
        <w:rPr>
          <w:rFonts w:eastAsia="Times New Roman" w:cs="Arial"/>
          <w:b/>
          <w:bCs/>
          <w:lang w:eastAsia="es-MX"/>
        </w:rPr>
        <w:t>COMISIÓN. </w:t>
      </w:r>
      <w:r w:rsidRPr="004656A5">
        <w:rPr>
          <w:rFonts w:eastAsia="Times New Roman" w:cs="Arial"/>
          <w:bCs/>
          <w:lang w:eastAsia="es-MX"/>
        </w:rPr>
        <w:t xml:space="preserve">Los servicios </w:t>
      </w:r>
      <w:r>
        <w:rPr>
          <w:rFonts w:eastAsia="Times New Roman" w:cs="Arial"/>
          <w:bCs/>
          <w:lang w:eastAsia="es-MX"/>
        </w:rPr>
        <w:t xml:space="preserve">proporcionados por la Caja así como </w:t>
      </w:r>
      <w:r w:rsidRPr="004656A5">
        <w:rPr>
          <w:rFonts w:eastAsia="Times New Roman" w:cs="Arial"/>
          <w:bCs/>
          <w:lang w:eastAsia="es-MX"/>
        </w:rPr>
        <w:t xml:space="preserve">de consulta de estados de cuenta </w:t>
      </w:r>
      <w:r>
        <w:rPr>
          <w:rFonts w:eastAsia="Times New Roman" w:cs="Arial"/>
          <w:bCs/>
          <w:lang w:eastAsia="es-MX"/>
        </w:rPr>
        <w:t>ofrecidos</w:t>
      </w:r>
      <w:r w:rsidRPr="004656A5">
        <w:rPr>
          <w:rFonts w:eastAsia="Times New Roman" w:cs="Arial"/>
          <w:bCs/>
          <w:lang w:eastAsia="es-MX"/>
        </w:rPr>
        <w:t>, son SIN COSTO y NO GENERARÁ NINGUNA COMISIÓN.</w:t>
      </w:r>
    </w:p>
    <w:p w:rsidR="002676C6" w:rsidRPr="004656A5" w:rsidRDefault="002676C6" w:rsidP="002676C6">
      <w:pPr>
        <w:spacing w:before="150" w:after="150" w:line="240" w:lineRule="auto"/>
        <w:jc w:val="both"/>
        <w:rPr>
          <w:rFonts w:eastAsia="Times New Roman" w:cs="Arial"/>
          <w:bCs/>
          <w:lang w:eastAsia="es-MX"/>
        </w:rPr>
      </w:pPr>
      <w:r w:rsidRPr="008168D6">
        <w:rPr>
          <w:rFonts w:eastAsia="Times New Roman" w:cs="Arial"/>
          <w:b/>
          <w:bCs/>
          <w:lang w:eastAsia="es-MX"/>
        </w:rPr>
        <w:t>HORARIO</w:t>
      </w:r>
      <w:r>
        <w:rPr>
          <w:rFonts w:eastAsia="Times New Roman" w:cs="Arial"/>
          <w:b/>
          <w:bCs/>
          <w:lang w:eastAsia="es-MX"/>
        </w:rPr>
        <w:t>S DE ATENCION</w:t>
      </w:r>
      <w:r w:rsidRPr="008168D6">
        <w:rPr>
          <w:rFonts w:eastAsia="Times New Roman" w:cs="Arial"/>
          <w:b/>
          <w:bCs/>
          <w:lang w:eastAsia="es-MX"/>
        </w:rPr>
        <w:t>.</w:t>
      </w:r>
      <w:r w:rsidRPr="004656A5">
        <w:rPr>
          <w:rFonts w:eastAsia="Times New Roman" w:cs="Arial"/>
          <w:bCs/>
          <w:lang w:eastAsia="es-MX"/>
        </w:rPr>
        <w:t> Se prestará los servicios de consulta de estados de cuenta electrónicos vía internet las veinticuatro horas del día de lunes a domingo.</w:t>
      </w:r>
    </w:p>
    <w:p w:rsidR="002676C6" w:rsidRPr="000A28DB" w:rsidRDefault="002676C6" w:rsidP="000A28DB">
      <w:pPr>
        <w:pStyle w:val="NormalWeb"/>
        <w:shd w:val="clear" w:color="auto" w:fill="FFFFFF"/>
        <w:spacing w:before="0" w:beforeAutospacing="0" w:after="150" w:afterAutospacing="0"/>
        <w:contextualSpacing/>
        <w:jc w:val="both"/>
        <w:rPr>
          <w:rFonts w:asciiTheme="minorHAnsi" w:hAnsiTheme="minorHAnsi" w:cs="Arial"/>
          <w:color w:val="333333"/>
          <w:sz w:val="22"/>
          <w:szCs w:val="22"/>
        </w:rPr>
      </w:pPr>
    </w:p>
    <w:sectPr w:rsidR="002676C6" w:rsidRPr="000A28DB" w:rsidSect="00DE12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DD"/>
    <w:rsid w:val="000A28DB"/>
    <w:rsid w:val="002676C6"/>
    <w:rsid w:val="006C6FEF"/>
    <w:rsid w:val="007072B4"/>
    <w:rsid w:val="007766DD"/>
    <w:rsid w:val="008B43E6"/>
    <w:rsid w:val="00924D86"/>
    <w:rsid w:val="00A34971"/>
    <w:rsid w:val="00DE12DF"/>
    <w:rsid w:val="00FA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C3DF8C-F114-4E1A-96B0-B7728030B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2D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7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sistemas</dc:creator>
  <cp:lastModifiedBy>anasando</cp:lastModifiedBy>
  <cp:revision>2</cp:revision>
  <dcterms:created xsi:type="dcterms:W3CDTF">2017-04-12T16:22:00Z</dcterms:created>
  <dcterms:modified xsi:type="dcterms:W3CDTF">2017-04-12T16:22:00Z</dcterms:modified>
</cp:coreProperties>
</file>